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Inter" w:cs="Inter" w:eastAsia="Inter" w:hAnsi="Inter"/>
          <w:b w:val="1"/>
          <w:bCs w:val="1"/>
          <w:color w:val="003f44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Inter" w:cs="Inter" w:eastAsia="Inter" w:hAnsi="Inter"/>
          <w:b w:val="1"/>
          <w:bCs w:val="1"/>
          <w:color w:val="003f44"/>
          <w:sz w:val="70"/>
          <w:szCs w:val="70"/>
          <w:highlight w:val="whit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3f44"/>
          <w:sz w:val="70"/>
          <w:szCs w:val="70"/>
          <w:highlight w:val="white"/>
          <w:rtl w:val="0"/>
        </w:rPr>
        <w:t xml:space="preserve">Дневник эпилептических приступов </w:t>
      </w:r>
    </w:p>
    <w:p w:rsidR="00000000" w:rsidDel="00000000" w:rsidP="00000000" w:rsidRDefault="00000000" w:rsidRPr="00000000" w14:paraId="00000003">
      <w:pPr>
        <w:ind w:right="-1029.2125984251948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1080"/>
        <w:gridCol w:w="1440"/>
        <w:gridCol w:w="1605"/>
        <w:gridCol w:w="1575"/>
        <w:gridCol w:w="1725"/>
        <w:gridCol w:w="1680"/>
        <w:gridCol w:w="1680"/>
        <w:gridCol w:w="1815"/>
        <w:gridCol w:w="1590"/>
        <w:gridCol w:w="1860"/>
        <w:tblGridChange w:id="0">
          <w:tblGrid>
            <w:gridCol w:w="450"/>
            <w:gridCol w:w="1080"/>
            <w:gridCol w:w="1440"/>
            <w:gridCol w:w="1605"/>
            <w:gridCol w:w="1575"/>
            <w:gridCol w:w="1725"/>
            <w:gridCol w:w="1680"/>
            <w:gridCol w:w="1680"/>
            <w:gridCol w:w="1815"/>
            <w:gridCol w:w="159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Дата и время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Продолжительность (мин/сек)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Тип движений*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Части тела**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Аура (да/нет; описание)***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Уровень сознания (сохраняется / теряется)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Вегетативные проявления ****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Триггеры*****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Состояние после приступа******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highlight w:val="white"/>
                <w:rtl w:val="0"/>
              </w:rPr>
              <w:t xml:space="preserve">Принятые меры (позиция, скорая, препараты, дозировка)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Inter" w:cs="Inter" w:eastAsia="Inter" w:hAnsi="Inter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* подергивания, вытягивание, сгибание, замирание, запрокидывание головы, движения глаз и т.д.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** </w:t>
      </w: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одна рука, лицо, все тело и др.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*** ощущение </w:t>
      </w: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мурашек</w:t>
      </w: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, запах, звук перед приступом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**** покраснение/побледнение лица, потоотделение, остановка дыхания, изменение сатурации.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***** недосып, переутомление, стресс, сильные эмоции, яркий мигающий свет, видеоигры, пропуск приема пищи, менструация, ОРВИ, температура.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****** сонливость, головная боль, слабость, спутанность сознания, речевые нарушения.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rFonts w:ascii="Inter" w:cs="Inter" w:eastAsia="Inter" w:hAnsi="Inter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4"/>
          <w:szCs w:val="24"/>
          <w:highlight w:val="white"/>
          <w:rtl w:val="0"/>
        </w:rPr>
        <w:t xml:space="preserve">Принятые меры: положение на боку, вызов скорой, прием экстренного препарата и его дозировка.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1.73228346456693" w:right="141.732283464566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ind w:left="12960" w:firstLine="0"/>
      <w:rPr/>
    </w:pPr>
    <w:r w:rsidDel="00000000" w:rsidR="00000000" w:rsidRPr="00000000">
      <w:rPr/>
      <w:drawing>
        <wp:inline distB="114300" distT="114300" distL="114300" distR="114300">
          <wp:extent cx="2123588" cy="46718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3588" cy="4671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